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fizice</w:t>
      </w:r>
      <w:proofErr w:type="spellEnd"/>
    </w:p>
    <w:p w14:paraId="7F778266" w14:textId="77777777" w:rsidR="00CF78FA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7446" w:rsidRPr="000575A7">
        <w:rPr>
          <w:rFonts w:ascii="Times New Roman" w:eastAsia="Calibri" w:hAnsi="Times New Roman" w:cs="Times New Roman"/>
          <w:sz w:val="24"/>
          <w:szCs w:val="24"/>
        </w:rPr>
        <w:t>Extrao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>
        <w:rPr>
          <w:rFonts w:ascii="Times New Roman" w:eastAsia="Calibri" w:hAnsi="Times New Roman" w:cs="Times New Roman"/>
          <w:sz w:val="24"/>
          <w:szCs w:val="24"/>
        </w:rPr>
        <w:t>“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7B7446"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>
        <w:rPr>
          <w:rFonts w:ascii="Times New Roman" w:eastAsia="Calibri" w:hAnsi="Times New Roman" w:cs="Times New Roman"/>
          <w:sz w:val="24"/>
          <w:szCs w:val="24"/>
        </w:rPr>
        <w:t>”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3A634BC8" w:rsidR="000D2C91" w:rsidRDefault="00CF78FA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1731C7CE" w:rsidR="001B1949" w:rsidRPr="000575A7" w:rsidRDefault="001B1949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8FA">
        <w:rPr>
          <w:rFonts w:ascii="Times New Roman" w:eastAsia="Calibri" w:hAnsi="Times New Roman" w:cs="Times New Roman"/>
          <w:sz w:val="24"/>
          <w:szCs w:val="24"/>
        </w:rPr>
        <w:t>2</w:t>
      </w:r>
      <w:r w:rsidR="005001DE">
        <w:rPr>
          <w:rFonts w:ascii="Times New Roman" w:eastAsia="Calibri" w:hAnsi="Times New Roman" w:cs="Times New Roman"/>
          <w:sz w:val="24"/>
          <w:szCs w:val="24"/>
        </w:rPr>
        <w:t>2</w:t>
      </w:r>
      <w:r w:rsidR="009741B9" w:rsidRPr="005E3835">
        <w:rPr>
          <w:rFonts w:ascii="Times New Roman" w:eastAsia="DaxlinePro-Light" w:hAnsi="Times New Roman" w:cs="Times New Roman"/>
          <w:sz w:val="24"/>
          <w:szCs w:val="24"/>
        </w:rPr>
        <w:t>/</w:t>
      </w:r>
      <w:r w:rsidR="00CF78FA">
        <w:rPr>
          <w:rFonts w:ascii="Times New Roman" w:eastAsia="DaxlinePro-Light" w:hAnsi="Times New Roman" w:cs="Times New Roman"/>
          <w:sz w:val="24"/>
          <w:szCs w:val="24"/>
        </w:rPr>
        <w:t>2</w:t>
      </w:r>
      <w:r w:rsidR="005001DE">
        <w:rPr>
          <w:rFonts w:ascii="Times New Roman" w:eastAsia="DaxlinePro-Light" w:hAnsi="Times New Roman" w:cs="Times New Roman"/>
          <w:sz w:val="24"/>
          <w:szCs w:val="24"/>
        </w:rPr>
        <w:t>3</w:t>
      </w:r>
      <w:r w:rsidR="009741B9" w:rsidRPr="005E3835">
        <w:rPr>
          <w:rFonts w:ascii="Times New Roman" w:eastAsia="DaxlinePro-Light" w:hAnsi="Times New Roman" w:cs="Times New Roman"/>
          <w:sz w:val="24"/>
          <w:szCs w:val="24"/>
        </w:rPr>
        <w:t>.</w:t>
      </w:r>
      <w:r w:rsidR="005001DE">
        <w:rPr>
          <w:rFonts w:ascii="Times New Roman" w:eastAsia="DaxlinePro-Light" w:hAnsi="Times New Roman" w:cs="Times New Roman"/>
          <w:sz w:val="24"/>
          <w:szCs w:val="24"/>
        </w:rPr>
        <w:t>06</w:t>
      </w:r>
      <w:r w:rsidR="009741B9" w:rsidRPr="005E3835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5001DE">
        <w:rPr>
          <w:rFonts w:ascii="Times New Roman" w:eastAsia="DaxlinePro-Light" w:hAnsi="Times New Roman" w:cs="Times New Roman"/>
          <w:sz w:val="24"/>
          <w:szCs w:val="24"/>
        </w:rPr>
        <w:t>3</w:t>
      </w:r>
    </w:p>
    <w:p w14:paraId="6BBC0A5D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8A75FA" w14:textId="1009ABB2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87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____________________________________________________________________,</w:t>
      </w:r>
    </w:p>
    <w:p w14:paraId="0DDCC5E6" w14:textId="4A38C3C6" w:rsidR="000D2C91" w:rsidRPr="000575A7" w:rsidRDefault="001E25C6" w:rsidP="00F12A1B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</w:p>
    <w:p w14:paraId="69A0C65E" w14:textId="66903E9E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[____________________________________], CNP 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46BF3240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5D21FE8C" w:rsidR="000A3D26" w:rsidRPr="00BC54DF" w:rsidRDefault="000A3D26" w:rsidP="00F12A1B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CF78FA" w:rsidRPr="00CF78FA">
        <w:rPr>
          <w:rFonts w:ascii="Times New Roman" w:eastAsia="DaxlinePro-Light" w:hAnsi="Times New Roman" w:cs="Times New Roman"/>
          <w:b/>
          <w:bCs/>
          <w:sz w:val="24"/>
          <w:szCs w:val="24"/>
        </w:rPr>
        <w:t>ROCA INDUSTRY</w:t>
      </w:r>
      <w:r w:rsidR="00CF78FA" w:rsidRPr="00CF78FA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BC54DF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595D69E4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împuternicesc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0575A7" w:rsidRDefault="001E25C6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0575A7" w:rsidRDefault="001E25C6" w:rsidP="00F12A1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0575A7" w:rsidRDefault="000D2C91" w:rsidP="00F12A1B">
      <w:pPr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>
        <w:rPr>
          <w:rFonts w:ascii="Times New Roman" w:eastAsia="Calibri" w:hAnsi="Times New Roman" w:cs="Times New Roman"/>
          <w:sz w:val="24"/>
          <w:szCs w:val="24"/>
        </w:rPr>
        <w:t>e</w:t>
      </w:r>
      <w:r w:rsidRPr="000575A7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>
        <w:rPr>
          <w:rFonts w:ascii="Times New Roman" w:eastAsia="Calibri" w:hAnsi="Times New Roman" w:cs="Times New Roman"/>
          <w:sz w:val="24"/>
          <w:szCs w:val="24"/>
        </w:rPr>
        <w:t>n</w:t>
      </w:r>
      <w:r w:rsidRPr="000575A7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__</w:t>
      </w:r>
      <w:r w:rsidR="002522B8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0575A7" w:rsidRDefault="001E25C6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0575A7" w:rsidRDefault="000D2C91" w:rsidP="00F12A1B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65EF2B2F" w14:textId="128F6888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</w:t>
      </w:r>
      <w:proofErr w:type="spellStart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CF78FA">
        <w:rPr>
          <w:rFonts w:ascii="Times New Roman" w:eastAsia="DaxlinePro-Light" w:hAnsi="Times New Roman" w:cs="Times New Roman"/>
          <w:b/>
          <w:bCs/>
          <w:sz w:val="24"/>
          <w:szCs w:val="24"/>
        </w:rPr>
        <w:t>2</w:t>
      </w:r>
      <w:r w:rsidR="005001DE">
        <w:rPr>
          <w:rFonts w:ascii="Times New Roman" w:eastAsia="DaxlinePro-Light" w:hAnsi="Times New Roman" w:cs="Times New Roman"/>
          <w:b/>
          <w:bCs/>
          <w:sz w:val="24"/>
          <w:szCs w:val="24"/>
        </w:rPr>
        <w:t>2</w:t>
      </w:r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.</w:t>
      </w:r>
      <w:r w:rsidR="005001DE">
        <w:rPr>
          <w:rFonts w:ascii="Times New Roman" w:eastAsia="DaxlinePro-Light" w:hAnsi="Times New Roman" w:cs="Times New Roman"/>
          <w:b/>
          <w:bCs/>
          <w:sz w:val="24"/>
          <w:szCs w:val="24"/>
        </w:rPr>
        <w:t>06</w:t>
      </w:r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5001DE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11:00 (</w:t>
      </w:r>
      <w:proofErr w:type="spellStart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6B0140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6B0140" w:rsidRPr="005E383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6B0140" w:rsidRPr="005E383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6B0140" w:rsidRPr="005E383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6B0140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CF78FA">
        <w:rPr>
          <w:rFonts w:ascii="Times New Roman" w:eastAsia="DaxlinePro-Light" w:hAnsi="Times New Roman" w:cs="Times New Roman"/>
          <w:b/>
          <w:bCs/>
          <w:sz w:val="24"/>
          <w:szCs w:val="24"/>
        </w:rPr>
        <w:t>2</w:t>
      </w:r>
      <w:r w:rsidR="005001DE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.</w:t>
      </w:r>
      <w:r w:rsidR="005001DE">
        <w:rPr>
          <w:rFonts w:ascii="Times New Roman" w:eastAsia="DaxlinePro-Light" w:hAnsi="Times New Roman" w:cs="Times New Roman"/>
          <w:b/>
          <w:bCs/>
          <w:sz w:val="24"/>
          <w:szCs w:val="24"/>
        </w:rPr>
        <w:t>06</w:t>
      </w:r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5001DE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11:00 (</w:t>
      </w:r>
      <w:proofErr w:type="spellStart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6B014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 xml:space="preserve"> – a </w:t>
      </w:r>
      <w:proofErr w:type="spellStart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2E4" w:rsidRPr="005912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cum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5E5CF84" w14:textId="77777777" w:rsidR="001824BF" w:rsidRPr="005B4873" w:rsidRDefault="001824BF" w:rsidP="001824BF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4C56D9D0" w14:textId="77777777" w:rsidR="001824BF" w:rsidRPr="003440E5" w:rsidRDefault="001824BF" w:rsidP="001824BF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3.995.999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("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Acțiunile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Cesionate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"),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fiecare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 RON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totală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3.995.999 RON (“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Achiziția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ELP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deținute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Societatea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Investiții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Alternative cu Capital Privat Roca Investments S.A.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înființată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funcționând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legislația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România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sediul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situat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București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strada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Gara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Herăstrău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nr. 4,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clădirea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etaj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3, Modul 17,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Sectorul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România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Comerțului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J40/15602/2017,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cod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unic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38201915 (“</w:t>
      </w:r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Roca Investments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reprezentând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99,99997% din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ELECTROPLAST S.A.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înființată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funcționând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Romania,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sediul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municipiul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Bistrița, str.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Subcetate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14,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județul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Bistrița-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Năsăud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Comerțului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nr. J6/1036/1993, cod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unic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5027384 ("</w:t>
      </w:r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ELP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preț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egal cu 45.750.988,6 RON,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stabilit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baza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raport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evaluare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întocmit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un evaluator independent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autorizat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ANEVAR,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încheierea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executarea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livrarea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cumpărător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limitare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următoarelor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ELP:</w:t>
      </w:r>
    </w:p>
    <w:p w14:paraId="3AEED8C1" w14:textId="77777777" w:rsidR="001824BF" w:rsidRPr="003440E5" w:rsidRDefault="001824BF" w:rsidP="001824BF">
      <w:pPr>
        <w:pStyle w:val="ListParagraph"/>
        <w:numPr>
          <w:ilvl w:val="0"/>
          <w:numId w:val="11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vânzare-cumpărare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Societatea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cumpărător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încheia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Roca Investments,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vânzător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obiect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cumpărarea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3.995.999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deținute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Roca Investments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reprezentând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99,99997% din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al ELP ("</w:t>
      </w:r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CVC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”), conform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termenilor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condițiilor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stabilite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prezenta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AGEA,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punctului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begin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instrText xml:space="preserve"> REF _Ref134796637 \r \h  \* MERGEFORMAT </w:instrTex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separate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end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jos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limitele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stabilite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prezenta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AGEA;</w:t>
      </w:r>
    </w:p>
    <w:p w14:paraId="77FE35EF" w14:textId="77777777" w:rsidR="001824BF" w:rsidRPr="003440E5" w:rsidRDefault="001824BF" w:rsidP="001824BF">
      <w:pPr>
        <w:pStyle w:val="ListParagraph"/>
        <w:numPr>
          <w:ilvl w:val="0"/>
          <w:numId w:val="11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măsura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oportună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aplicabile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hotărârea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adunării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generale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ELP,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constitutiv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ELP,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actualizat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urmare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ELP;</w:t>
      </w:r>
    </w:p>
    <w:p w14:paraId="6E67F926" w14:textId="77777777" w:rsidR="001824BF" w:rsidRPr="003440E5" w:rsidRDefault="001824BF" w:rsidP="001824BF">
      <w:pPr>
        <w:pStyle w:val="ListParagraph"/>
        <w:numPr>
          <w:ilvl w:val="0"/>
          <w:numId w:val="11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notificări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certificate,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împuterniciri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scrisori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comisioanele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certificate de transfer,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aderare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declarații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derogări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modificări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amendamente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acorduri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înțelegeri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similare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ELP;</w:t>
      </w:r>
    </w:p>
    <w:p w14:paraId="25CE133A" w14:textId="77777777" w:rsidR="001824BF" w:rsidRPr="003440E5" w:rsidRDefault="001824BF" w:rsidP="001824BF">
      <w:pPr>
        <w:pStyle w:val="ListParagraph"/>
        <w:numPr>
          <w:ilvl w:val="0"/>
          <w:numId w:val="11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acordurile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suplimentare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adiționale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acorduri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similare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înțelegeri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referitoare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ELP;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</w:p>
    <w:p w14:paraId="6DC46B9D" w14:textId="77777777" w:rsidR="001824BF" w:rsidRPr="003440E5" w:rsidRDefault="001824BF" w:rsidP="001824BF">
      <w:pPr>
        <w:pStyle w:val="ListParagraph"/>
        <w:numPr>
          <w:ilvl w:val="0"/>
          <w:numId w:val="11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formalități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recomandabile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dorite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asigura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caracterul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valabil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obligatoriu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natură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producă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efecte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juridice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ELP, al CVC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CVC. 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824BF" w:rsidRPr="003440E5" w14:paraId="1A4931FB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74326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07EBDC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F035B6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824BF" w:rsidRPr="003440E5" w14:paraId="10A80B94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F19C5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5C404B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1B5567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9D0DC9C" w14:textId="77777777" w:rsidR="001824BF" w:rsidRPr="003440E5" w:rsidRDefault="001824BF" w:rsidP="001824BF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7CAC1DF7" w14:textId="77777777" w:rsidR="001824BF" w:rsidRPr="003440E5" w:rsidRDefault="001824BF" w:rsidP="001824BF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2069001" w14:textId="77777777" w:rsidR="001824BF" w:rsidRPr="003440E5" w:rsidRDefault="001824BF" w:rsidP="001824BF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lastRenderedPageBreak/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preluării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Societate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cesionar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creanțelor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deținute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Roca Investments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împotriva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Electroplast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rezultate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contractele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împrumut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încheiate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Roca Investments,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creditor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Electroplast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debitor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preț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egal cu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valoarea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nominală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creanțelor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cedate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maximă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până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la 12.000.000 RON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>Cesiunea</w:t>
      </w:r>
      <w:proofErr w:type="spellEnd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”), 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încheierea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executarea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livrarea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cesionar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limitare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următoarelor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00CF5933" w14:textId="77777777" w:rsidR="001824BF" w:rsidRPr="003440E5" w:rsidRDefault="001824BF" w:rsidP="001824BF">
      <w:pPr>
        <w:pStyle w:val="ListParagraph"/>
        <w:numPr>
          <w:ilvl w:val="0"/>
          <w:numId w:val="12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Societatea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cesionar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încheia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Roca Investments,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cedent,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Electroplast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debitor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cedat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obiect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deținute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Roca Investments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față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Electroplast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12.000.000</w:t>
      </w:r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 RON,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preț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egal cu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valoarea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nominală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creanțelor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cedate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>Contractul</w:t>
      </w:r>
      <w:proofErr w:type="spellEnd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>”);</w:t>
      </w:r>
    </w:p>
    <w:p w14:paraId="2D9D9D1F" w14:textId="77777777" w:rsidR="001824BF" w:rsidRPr="003440E5" w:rsidRDefault="001824BF" w:rsidP="001824BF">
      <w:pPr>
        <w:pStyle w:val="ListParagraph"/>
        <w:numPr>
          <w:ilvl w:val="0"/>
          <w:numId w:val="12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notificări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certificate,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împuterniciri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scrisori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comisioanele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certificate de transfer,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aderare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declarații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derogări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modificări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amendamente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acorduri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înțelegeri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similare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12A16C75" w14:textId="77777777" w:rsidR="001824BF" w:rsidRDefault="001824BF" w:rsidP="001824BF">
      <w:pPr>
        <w:pStyle w:val="ListParagraph"/>
        <w:numPr>
          <w:ilvl w:val="0"/>
          <w:numId w:val="12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acordurile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suplimentare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adiționale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acorduri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similare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înțelegeri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referitoare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</w:p>
    <w:p w14:paraId="55CA7A57" w14:textId="77777777" w:rsidR="001824BF" w:rsidRPr="0078397E" w:rsidRDefault="001824BF" w:rsidP="001824BF">
      <w:pPr>
        <w:pStyle w:val="ListParagraph"/>
        <w:numPr>
          <w:ilvl w:val="0"/>
          <w:numId w:val="12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formalități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recomandabile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dorite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asigura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caracterul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valabil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obligatoriu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natură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producă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efecte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juridice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Cesiunii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al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Cesiune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Cesiunea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Cesiune</w:t>
      </w:r>
      <w:proofErr w:type="spellEnd"/>
      <w:r w:rsidRPr="0078397E">
        <w:rPr>
          <w:rFonts w:ascii="Times New Roman" w:eastAsia="DaxlinePro-Light" w:hAnsi="Times New Roman" w:cs="Times New Roman"/>
          <w:iCs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824BF" w:rsidRPr="003440E5" w14:paraId="68726FD4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01778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A119F5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6D8ACB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824BF" w:rsidRPr="003440E5" w14:paraId="0CE0B3C6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8F468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04EBD5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D8311A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235D7A30" w14:textId="77777777" w:rsidR="001824BF" w:rsidRPr="003440E5" w:rsidRDefault="001824BF" w:rsidP="001824BF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425534F" w14:textId="77777777" w:rsidR="001824BF" w:rsidRPr="003440E5" w:rsidRDefault="001824BF" w:rsidP="001824BF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3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bookmarkStart w:id="2" w:name="_Ref134796637"/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bookmarkEnd w:id="2"/>
    </w:p>
    <w:p w14:paraId="36F9EFAB" w14:textId="77777777" w:rsidR="001824BF" w:rsidRPr="003440E5" w:rsidRDefault="001824BF" w:rsidP="001824BF">
      <w:pPr>
        <w:pStyle w:val="ListParagraph"/>
        <w:numPr>
          <w:ilvl w:val="0"/>
          <w:numId w:val="13"/>
        </w:numPr>
        <w:tabs>
          <w:tab w:val="left" w:pos="450"/>
        </w:tabs>
        <w:spacing w:before="200" w:after="200" w:line="240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stabilirea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termenilor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condițiilor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concrete ale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limitelor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aprobate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prezenta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AGEA;</w:t>
      </w:r>
    </w:p>
    <w:p w14:paraId="2D6C312A" w14:textId="77777777" w:rsidR="001824BF" w:rsidRPr="003440E5" w:rsidRDefault="001824BF" w:rsidP="001824BF">
      <w:pPr>
        <w:pStyle w:val="ListParagraph"/>
        <w:numPr>
          <w:ilvl w:val="0"/>
          <w:numId w:val="13"/>
        </w:numPr>
        <w:tabs>
          <w:tab w:val="left" w:pos="450"/>
        </w:tabs>
        <w:spacing w:before="200" w:after="200" w:line="240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" w:name="_Ref134550880"/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redactarea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încheierea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livrarea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perfectarea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3440E5" w:rsidDel="007049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depunerea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primirea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expedierea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modificarea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completarea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dacă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executarea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CVC,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Constractului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CVC,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bookmarkEnd w:id="3"/>
    </w:p>
    <w:p w14:paraId="2AA6DB05" w14:textId="77777777" w:rsidR="001824BF" w:rsidRPr="003440E5" w:rsidRDefault="001824BF" w:rsidP="001824BF">
      <w:pPr>
        <w:pStyle w:val="ListParagraph"/>
        <w:numPr>
          <w:ilvl w:val="0"/>
          <w:numId w:val="13"/>
        </w:numPr>
        <w:tabs>
          <w:tab w:val="left" w:pos="450"/>
        </w:tabs>
        <w:spacing w:before="200" w:after="200" w:line="240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formalităților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întreprinderea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administrative,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juridice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natură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adecvate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recomandabile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da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efect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deplin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CVC,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</w:p>
    <w:p w14:paraId="5E2D2296" w14:textId="77777777" w:rsidR="001824BF" w:rsidRPr="003440E5" w:rsidRDefault="001824BF" w:rsidP="001824BF">
      <w:pPr>
        <w:pStyle w:val="ListParagraph"/>
        <w:numPr>
          <w:ilvl w:val="0"/>
          <w:numId w:val="13"/>
        </w:numPr>
        <w:tabs>
          <w:tab w:val="left" w:pos="450"/>
        </w:tabs>
        <w:spacing w:before="200" w:after="200" w:line="240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" w:name="_Ref134550883"/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întreprinderea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faptelor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recomandabile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da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efect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deplin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CVC,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referitoare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CVC,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Contractul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respecta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prevederile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respectivelor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scopul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îndeplinirii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operațiunilor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menționate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sus.</w:t>
      </w:r>
      <w:bookmarkEnd w:id="4"/>
    </w:p>
    <w:p w14:paraId="0494B12F" w14:textId="77777777" w:rsidR="001824BF" w:rsidRPr="003440E5" w:rsidRDefault="001824BF" w:rsidP="001824BF">
      <w:pPr>
        <w:tabs>
          <w:tab w:val="left" w:pos="450"/>
        </w:tabs>
        <w:spacing w:before="200" w:after="200" w:line="240" w:lineRule="auto"/>
        <w:ind w:left="450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privește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punctele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begin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instrText xml:space="preserve"> REF _Ref134550880 \r \h  \* MERGEFORMAT </w:instrTex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separate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ii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end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begin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instrText xml:space="preserve"> REF _Ref134550883 \r \h  \* MERGEFORMAT </w:instrTex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separate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iv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end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subdelegare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membrii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directorii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824BF" w:rsidRPr="003440E5" w14:paraId="1CFBB425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4E675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A9F2F7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DACD1E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824BF" w:rsidRPr="003440E5" w14:paraId="2F4705FD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AA46A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C26076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FB3C59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2BD84B7" w14:textId="77777777" w:rsidR="001824BF" w:rsidRPr="003440E5" w:rsidRDefault="001824BF" w:rsidP="001824BF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B993719" w14:textId="77777777" w:rsidR="001824BF" w:rsidRPr="003440E5" w:rsidRDefault="001824BF" w:rsidP="001824BF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4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sumă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150.000.000 RON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aport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numerar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conversia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împotriva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astfel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decis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decizia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Capitalului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Social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emisiunea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15.000.000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10 RON per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totală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150.000.000 RON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Acțiunile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4FE39305" w14:textId="77777777" w:rsidR="001824BF" w:rsidRPr="003440E5" w:rsidRDefault="001824BF" w:rsidP="001824BF">
      <w:pPr>
        <w:pStyle w:val="ListParagraph"/>
        <w:numPr>
          <w:ilvl w:val="0"/>
          <w:numId w:val="14"/>
        </w:numPr>
        <w:tabs>
          <w:tab w:val="left" w:pos="450"/>
        </w:tabs>
        <w:spacing w:after="140" w:line="280" w:lineRule="exact"/>
        <w:ind w:left="900" w:hanging="45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5" w:name="_Ref134610464"/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oferite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spre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bookmarkEnd w:id="5"/>
    </w:p>
    <w:p w14:paraId="688C17F5" w14:textId="77777777" w:rsidR="001824BF" w:rsidRPr="003440E5" w:rsidRDefault="001824BF" w:rsidP="001824BF">
      <w:pPr>
        <w:pStyle w:val="ListParagraph"/>
        <w:numPr>
          <w:ilvl w:val="0"/>
          <w:numId w:val="15"/>
        </w:numPr>
        <w:tabs>
          <w:tab w:val="left" w:pos="450"/>
        </w:tabs>
        <w:spacing w:after="140" w:line="280" w:lineRule="exact"/>
        <w:ind w:left="126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timpul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primei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etape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ținut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 S.A., cu data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12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persoanele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au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dobândit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perioada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tranzacționare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ținut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 S.A., cu data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12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măsura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prospectul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pregătit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include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tranzacționare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</w:p>
    <w:p w14:paraId="617FF67B" w14:textId="77777777" w:rsidR="001824BF" w:rsidRPr="003440E5" w:rsidRDefault="001824BF" w:rsidP="001824BF">
      <w:pPr>
        <w:pStyle w:val="ListParagraph"/>
        <w:numPr>
          <w:ilvl w:val="0"/>
          <w:numId w:val="15"/>
        </w:numPr>
        <w:tabs>
          <w:tab w:val="left" w:pos="450"/>
        </w:tabs>
        <w:spacing w:after="140" w:line="280" w:lineRule="exact"/>
        <w:ind w:left="12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timpul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celei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de-a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doua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etape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rămase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nesubscrise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prima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etapă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așa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aceasta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descrisă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punctul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  <w:cs/>
        </w:rPr>
        <w:t xml:space="preserve">a) 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oferite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spre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fie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publicului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România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Ofertă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Publică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(ii)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plasament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adresat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anumite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Uniunea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Europeană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baza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excepțiilor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permise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publicarea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prospect,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prevăzute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articolul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alineat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(4),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literele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(a) – (d) din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Regulamentul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(UE) 2017/1129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Parlamentului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European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14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iunie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2017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prospectul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trebuie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publicat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publice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mobiliare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admiterii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mobiliare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tranzacționare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abrogare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Directivei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2003/71/CE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Regulamentul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Prospectul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investori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cărora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 pot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adresate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direcționate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asemenea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plasamente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private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mod legal,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excepțiile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Regulamentul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Regulamentul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S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 din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Valorile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Mobiliare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1933 din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Unite ale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Americii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Legea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Valorile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Mobiliare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existe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obligație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conformare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formalități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vreunei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aplicabile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măsura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doar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dacă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investiție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constituie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încălcare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aplicabile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asemenea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investitor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Plasamentul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Privat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”), conform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decizii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acest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sens.</w:t>
      </w:r>
      <w:proofErr w:type="spellEnd"/>
    </w:p>
    <w:p w14:paraId="051FBCC8" w14:textId="77777777" w:rsidR="001824BF" w:rsidRPr="003440E5" w:rsidRDefault="001824BF" w:rsidP="001824BF">
      <w:pPr>
        <w:pStyle w:val="ListParagraph"/>
        <w:tabs>
          <w:tab w:val="left" w:pos="450"/>
        </w:tabs>
        <w:spacing w:after="140" w:line="280" w:lineRule="exact"/>
        <w:ind w:left="12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99EDF1" w14:textId="77777777" w:rsidR="001824BF" w:rsidRPr="003440E5" w:rsidRDefault="001824BF" w:rsidP="001824BF">
      <w:pPr>
        <w:pStyle w:val="ListParagraph"/>
        <w:numPr>
          <w:ilvl w:val="0"/>
          <w:numId w:val="14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rămâne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nesubscrise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finalul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perioadei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Ofertei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Publice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Plasamentului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Privat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anulate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decizia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rezultatele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finale ale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Capital Social.</w:t>
      </w:r>
    </w:p>
    <w:p w14:paraId="054A139E" w14:textId="77777777" w:rsidR="001824BF" w:rsidRPr="003440E5" w:rsidRDefault="001824BF" w:rsidP="001824BF">
      <w:pPr>
        <w:pStyle w:val="ListParagraph"/>
        <w:numPr>
          <w:ilvl w:val="0"/>
          <w:numId w:val="14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emise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egal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emise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așa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ținut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 S.A., cu data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12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2023.</w:t>
      </w:r>
    </w:p>
    <w:p w14:paraId="05DF3871" w14:textId="77777777" w:rsidR="001824BF" w:rsidRPr="003440E5" w:rsidRDefault="001824BF" w:rsidP="001824BF">
      <w:pPr>
        <w:pStyle w:val="ListParagraph"/>
        <w:numPr>
          <w:ilvl w:val="0"/>
          <w:numId w:val="14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Fiecare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ținut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 S.A. cu data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12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primi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egal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deținute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F8508B0" w14:textId="77777777" w:rsidR="001824BF" w:rsidRPr="003440E5" w:rsidRDefault="001824BF" w:rsidP="001824BF">
      <w:pPr>
        <w:pStyle w:val="ListParagraph"/>
        <w:numPr>
          <w:ilvl w:val="0"/>
          <w:numId w:val="14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Perioada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exercitare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de o (1)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lună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încheierea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perioadei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tranzacționare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fiind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ulterioară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datei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12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2023.</w:t>
      </w:r>
    </w:p>
    <w:p w14:paraId="0DAB2647" w14:textId="77777777" w:rsidR="001824BF" w:rsidRPr="003440E5" w:rsidRDefault="001824BF" w:rsidP="001824BF">
      <w:pPr>
        <w:pStyle w:val="ListParagraph"/>
        <w:numPr>
          <w:ilvl w:val="0"/>
          <w:numId w:val="14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durata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exercitării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persoană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trebuie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dețină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1,1796382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rotunjiri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aplicabile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reglementărilor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vigoare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elaborate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Central).</w:t>
      </w:r>
    </w:p>
    <w:p w14:paraId="79E81934" w14:textId="77777777" w:rsidR="001824BF" w:rsidRPr="003440E5" w:rsidRDefault="001824BF" w:rsidP="001824BF">
      <w:pPr>
        <w:pStyle w:val="ListParagraph"/>
        <w:numPr>
          <w:ilvl w:val="0"/>
          <w:numId w:val="14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ținut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 S.A. la data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12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dacă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persoană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dobândit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perioada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tranzacționare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ținut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 S.A., cu data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12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poate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maxim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calculat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împărțirea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deținute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respectivul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Nouă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(1,1796382)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rotunjiri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aplicabile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reglementărilor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vigoare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elaborate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Central).</w:t>
      </w:r>
    </w:p>
    <w:p w14:paraId="581BCE8F" w14:textId="77777777" w:rsidR="001824BF" w:rsidRPr="003440E5" w:rsidRDefault="001824BF" w:rsidP="001824BF">
      <w:pPr>
        <w:pStyle w:val="ListParagraph"/>
        <w:numPr>
          <w:ilvl w:val="0"/>
          <w:numId w:val="14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maxim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pot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parcursul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perioadei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exercitare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rezultând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aplicarea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calculului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sus) nu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natural,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maxim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pot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efectiv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rotunjit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jos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următorul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natural inferior.</w:t>
      </w:r>
    </w:p>
    <w:p w14:paraId="3DD028BA" w14:textId="77777777" w:rsidR="001824BF" w:rsidRPr="003440E5" w:rsidRDefault="001824BF" w:rsidP="001824BF">
      <w:pPr>
        <w:pStyle w:val="ListParagraph"/>
        <w:numPr>
          <w:ilvl w:val="0"/>
          <w:numId w:val="14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Detalii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procedura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perioada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prețul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procedura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metoda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plată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validarea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formularul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etc.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incluse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prospectul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aprobat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Autoritatea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Supraveghere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Financiară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Social.</w:t>
      </w:r>
    </w:p>
    <w:p w14:paraId="75B74D2C" w14:textId="2050550E" w:rsidR="001824BF" w:rsidRPr="003440E5" w:rsidRDefault="001824BF" w:rsidP="001824BF">
      <w:pPr>
        <w:pStyle w:val="ListParagraph"/>
        <w:numPr>
          <w:ilvl w:val="0"/>
          <w:numId w:val="14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Capital 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scop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obținerea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fonduri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finanțarea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activității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curente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companiilor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parte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holding,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obținerea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finanțare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proiectele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derulare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proiecte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824BF" w:rsidRPr="003440E5" w14:paraId="746DF7B9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75E3A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369A5C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CC733F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824BF" w:rsidRPr="003440E5" w14:paraId="6DD51A65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56B1E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AB41ED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0D0DBE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236295F2" w14:textId="77777777" w:rsidR="001824BF" w:rsidRPr="003440E5" w:rsidRDefault="001824BF" w:rsidP="001824BF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DE03003" w14:textId="0D01FCEA" w:rsidR="001824BF" w:rsidRPr="003440E5" w:rsidRDefault="001824BF" w:rsidP="005B070D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lastRenderedPageBreak/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5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admiterii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tranzacționare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Bursa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București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S.A.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Listarea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”).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824BF" w:rsidRPr="003440E5" w14:paraId="0235D193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ED8CE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F0181A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D958F0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824BF" w:rsidRPr="003440E5" w14:paraId="55919EC7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59478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0DB5E9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086EDA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E851341" w14:textId="77777777" w:rsidR="001824BF" w:rsidRPr="003440E5" w:rsidRDefault="001824BF" w:rsidP="001824BF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2409215" w14:textId="77777777" w:rsidR="001824BF" w:rsidRPr="003440E5" w:rsidRDefault="001824BF" w:rsidP="001824BF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6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emită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hotărâre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faptele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juridice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utile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oportune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aducerea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îndeplinire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Listarea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următoarele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aspecte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623117ED" w14:textId="77777777" w:rsidR="001824BF" w:rsidRPr="003440E5" w:rsidRDefault="001824BF" w:rsidP="001824BF">
      <w:pPr>
        <w:pStyle w:val="ListParagraph"/>
        <w:numPr>
          <w:ilvl w:val="0"/>
          <w:numId w:val="16"/>
        </w:numPr>
        <w:tabs>
          <w:tab w:val="left" w:pos="450"/>
        </w:tabs>
        <w:spacing w:before="200" w:after="200" w:line="240" w:lineRule="auto"/>
        <w:ind w:left="90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stabilirea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structurii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duratei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Capital Social,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stabilirea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prețului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Capital Social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condițiile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pieței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celorlalți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termeni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finali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condiții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Capital Social),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selectarea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intermediarilor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Listarea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asigurarea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redactării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publicării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prospect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document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Capital Social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Listarea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intermediari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consultanți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experți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contabili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evaluatori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fapte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juridice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utile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oportune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sus;</w:t>
      </w:r>
    </w:p>
    <w:p w14:paraId="106FD94F" w14:textId="77777777" w:rsidR="001824BF" w:rsidRPr="003440E5" w:rsidRDefault="001824BF" w:rsidP="001824BF">
      <w:pPr>
        <w:pStyle w:val="ListParagraph"/>
        <w:numPr>
          <w:ilvl w:val="0"/>
          <w:numId w:val="16"/>
        </w:numPr>
        <w:tabs>
          <w:tab w:val="left" w:pos="450"/>
        </w:tabs>
        <w:spacing w:before="200" w:after="200" w:line="240" w:lineRule="auto"/>
        <w:ind w:left="90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stabilirea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datei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structurii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condițiilor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admiterii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tranzacționare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Bursa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București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S.A.;</w:t>
      </w:r>
    </w:p>
    <w:p w14:paraId="2DF068FE" w14:textId="77777777" w:rsidR="001824BF" w:rsidRPr="003440E5" w:rsidRDefault="001824BF" w:rsidP="001824BF">
      <w:pPr>
        <w:pStyle w:val="ListParagraph"/>
        <w:numPr>
          <w:ilvl w:val="0"/>
          <w:numId w:val="16"/>
        </w:numPr>
        <w:tabs>
          <w:tab w:val="left" w:pos="450"/>
        </w:tabs>
        <w:spacing w:before="200" w:after="200" w:line="240" w:lineRule="auto"/>
        <w:ind w:left="90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Listarea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aranjamente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angajamente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prospecte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vânzare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stabilizare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agenție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consultanță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certificate,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declarații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notificări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adiționale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rapoarte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evaluare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formalități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autorizeze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execute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da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efecte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depline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Capital Social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Listării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actualizarea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Constitutiv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14:paraId="7AF8A213" w14:textId="77777777" w:rsidR="001824BF" w:rsidRPr="003440E5" w:rsidRDefault="001824BF" w:rsidP="001824BF">
      <w:pPr>
        <w:pStyle w:val="ListParagraph"/>
        <w:numPr>
          <w:ilvl w:val="0"/>
          <w:numId w:val="16"/>
        </w:numPr>
        <w:tabs>
          <w:tab w:val="left" w:pos="450"/>
        </w:tabs>
        <w:spacing w:before="200" w:after="200" w:line="240" w:lineRule="auto"/>
        <w:ind w:left="90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împuternicirea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reprezentanților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semna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astfel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astfel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formalități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astfel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</w:p>
    <w:p w14:paraId="2F6EAFE2" w14:textId="77777777" w:rsidR="001824BF" w:rsidRPr="003440E5" w:rsidRDefault="001824BF" w:rsidP="001824BF">
      <w:pPr>
        <w:pStyle w:val="ListParagraph"/>
        <w:numPr>
          <w:ilvl w:val="0"/>
          <w:numId w:val="16"/>
        </w:numPr>
        <w:tabs>
          <w:tab w:val="left" w:pos="450"/>
        </w:tabs>
        <w:spacing w:before="200" w:after="200" w:line="240" w:lineRule="auto"/>
        <w:ind w:left="90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reprezentarea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autorități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instituții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competente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Oficiul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Comerțului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Autoritatea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Supraveghere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Financiară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Bursa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București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 S.A.)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Listarea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824BF" w:rsidRPr="003440E5" w14:paraId="008F3BE6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B52C6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B35A69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A037F3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824BF" w:rsidRPr="003440E5" w14:paraId="5F20F778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99922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747822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3179F9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EC2AD05" w14:textId="77777777" w:rsidR="001824BF" w:rsidRPr="003440E5" w:rsidRDefault="001824BF" w:rsidP="001824BF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D7462B2" w14:textId="77777777" w:rsidR="001824BF" w:rsidRPr="003440E5" w:rsidRDefault="001824BF" w:rsidP="001824BF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lastRenderedPageBreak/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7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datei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de:</w:t>
      </w:r>
    </w:p>
    <w:p w14:paraId="54FB2440" w14:textId="77777777" w:rsidR="001824BF" w:rsidRPr="003440E5" w:rsidRDefault="001824BF" w:rsidP="001824BF">
      <w:pPr>
        <w:pStyle w:val="ListParagraph"/>
        <w:numPr>
          <w:ilvl w:val="0"/>
          <w:numId w:val="17"/>
        </w:numPr>
        <w:tabs>
          <w:tab w:val="left" w:pos="450"/>
        </w:tabs>
        <w:spacing w:before="200" w:after="200" w:line="240" w:lineRule="auto"/>
        <w:ind w:left="81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2023 ca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dată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identificarea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asupra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cărora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răsfrâng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efectele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hotărârilor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adoptate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AGEA,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art. 87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. (1) din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nr. 24/2017;</w:t>
      </w:r>
    </w:p>
    <w:p w14:paraId="41AA8012" w14:textId="77777777" w:rsidR="001824BF" w:rsidRPr="003440E5" w:rsidRDefault="001824BF" w:rsidP="001824BF">
      <w:pPr>
        <w:pStyle w:val="ListParagraph"/>
        <w:numPr>
          <w:ilvl w:val="1"/>
          <w:numId w:val="17"/>
        </w:numPr>
        <w:tabs>
          <w:tab w:val="left" w:pos="450"/>
        </w:tabs>
        <w:spacing w:before="200" w:after="200" w:line="240" w:lineRule="auto"/>
        <w:ind w:left="81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11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2023 ca “ex-date”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calculată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art. 2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. (2) lit. (l) din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Regulamentul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nr. 5/2018; </w:t>
      </w:r>
    </w:p>
    <w:p w14:paraId="44FFFDB1" w14:textId="77777777" w:rsidR="001824BF" w:rsidRPr="003440E5" w:rsidRDefault="001824BF" w:rsidP="001824BF">
      <w:pPr>
        <w:pStyle w:val="ListParagraph"/>
        <w:numPr>
          <w:ilvl w:val="1"/>
          <w:numId w:val="17"/>
        </w:numPr>
        <w:tabs>
          <w:tab w:val="left" w:pos="450"/>
        </w:tabs>
        <w:spacing w:before="200" w:after="200" w:line="240" w:lineRule="auto"/>
        <w:ind w:left="81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2023 ca data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participării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garantate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art. 2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. (2)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litera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j) din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Regulamentul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nr. 5/2018;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</w:p>
    <w:p w14:paraId="2BB45042" w14:textId="77777777" w:rsidR="001824BF" w:rsidRPr="003440E5" w:rsidRDefault="001824BF" w:rsidP="001824BF">
      <w:pPr>
        <w:pStyle w:val="ListParagraph"/>
        <w:numPr>
          <w:ilvl w:val="1"/>
          <w:numId w:val="17"/>
        </w:numPr>
        <w:tabs>
          <w:tab w:val="left" w:pos="450"/>
        </w:tabs>
        <w:spacing w:before="200" w:after="200" w:line="240" w:lineRule="auto"/>
        <w:ind w:left="81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13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2023 ca data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plății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calculată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art. 2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. (2)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litera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h)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ale art. 178 din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Regulamentul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nr. 5/2018.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824BF" w:rsidRPr="003440E5" w14:paraId="64216D37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7CF77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5ED9C0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D48C91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824BF" w:rsidRPr="003440E5" w14:paraId="62C42219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7CF50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892554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69C555" w14:textId="77777777" w:rsidR="001824BF" w:rsidRPr="003440E5" w:rsidRDefault="001824BF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95CF938" w14:textId="77777777" w:rsidR="001824BF" w:rsidRPr="003440E5" w:rsidRDefault="001824BF" w:rsidP="001824BF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ED18E8C" w14:textId="77777777" w:rsidR="001824BF" w:rsidRPr="003440E5" w:rsidRDefault="001824BF" w:rsidP="001824BF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85642FC" w14:textId="4B0FF339" w:rsidR="001824BF" w:rsidRDefault="001824BF" w:rsidP="001824BF">
      <w:pPr>
        <w:widowControl w:val="0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8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Ioan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-Adrian Bindea,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AGEA,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AGEA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formalităților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deciziilor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Comerțului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mandatării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terţe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mandatului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Ioan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-Adrian Bindea,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mandatarii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acestuia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putea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acestea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formalitățile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punerii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aplicare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AGEA,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efectueze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demersuri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formalități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C441F0" w:rsidRPr="003440E5" w14:paraId="07F5D164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58E4E" w14:textId="77777777" w:rsidR="00C441F0" w:rsidRPr="003440E5" w:rsidRDefault="00C441F0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A11516" w14:textId="77777777" w:rsidR="00C441F0" w:rsidRPr="003440E5" w:rsidRDefault="00C441F0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B2C328" w14:textId="77777777" w:rsidR="00C441F0" w:rsidRPr="003440E5" w:rsidRDefault="00C441F0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C441F0" w:rsidRPr="003440E5" w14:paraId="4161F5FC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EA68B" w14:textId="77777777" w:rsidR="00C441F0" w:rsidRPr="003440E5" w:rsidRDefault="00C441F0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F80BB2" w14:textId="77777777" w:rsidR="00C441F0" w:rsidRPr="003440E5" w:rsidRDefault="00C441F0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E58667" w14:textId="77777777" w:rsidR="00C441F0" w:rsidRPr="003440E5" w:rsidRDefault="00C441F0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054AB3E" w14:textId="77777777" w:rsidR="001824BF" w:rsidRPr="003440E5" w:rsidRDefault="001824BF" w:rsidP="001824BF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BF192AC" w14:textId="77777777" w:rsidR="00B76BE0" w:rsidRDefault="00B76BE0" w:rsidP="00F12A1B">
      <w:pPr>
        <w:jc w:val="both"/>
        <w:rPr>
          <w:rFonts w:ascii="Times New Roman" w:hAnsi="Times New Roman" w:cs="Times New Roman"/>
          <w:i/>
        </w:rPr>
      </w:pPr>
    </w:p>
    <w:p w14:paraId="28C67A79" w14:textId="00D87AF4" w:rsidR="008E018F" w:rsidRPr="0064771A" w:rsidRDefault="008E018F" w:rsidP="00F12A1B">
      <w:pPr>
        <w:jc w:val="both"/>
        <w:rPr>
          <w:rFonts w:ascii="Times New Roman" w:hAnsi="Times New Roman" w:cs="Times New Roman"/>
        </w:rPr>
      </w:pPr>
      <w:proofErr w:type="spellStart"/>
      <w:r w:rsidRPr="008E018F">
        <w:rPr>
          <w:rFonts w:ascii="Times New Roman" w:hAnsi="Times New Roman" w:cs="Times New Roman"/>
          <w:i/>
        </w:rPr>
        <w:t>Nota</w:t>
      </w:r>
      <w:proofErr w:type="spellEnd"/>
      <w:r w:rsidRPr="008E018F">
        <w:rPr>
          <w:rFonts w:ascii="Times New Roman" w:hAnsi="Times New Roman" w:cs="Times New Roman"/>
          <w:i/>
        </w:rPr>
        <w:t xml:space="preserve">: Se </w:t>
      </w:r>
      <w:proofErr w:type="spellStart"/>
      <w:r w:rsidRPr="008E018F">
        <w:rPr>
          <w:rFonts w:ascii="Times New Roman" w:hAnsi="Times New Roman" w:cs="Times New Roman"/>
          <w:i/>
        </w:rPr>
        <w:t>va</w:t>
      </w:r>
      <w:proofErr w:type="spellEnd"/>
      <w:r w:rsidRPr="008E018F">
        <w:rPr>
          <w:rFonts w:ascii="Times New Roman" w:hAnsi="Times New Roman" w:cs="Times New Roman"/>
          <w:i/>
        </w:rPr>
        <w:t xml:space="preserve"> indica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exprimat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prin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bifarea</w:t>
      </w:r>
      <w:proofErr w:type="spellEnd"/>
      <w:r w:rsidRPr="008E018F">
        <w:rPr>
          <w:rFonts w:ascii="Times New Roman" w:hAnsi="Times New Roman" w:cs="Times New Roman"/>
          <w:i/>
        </w:rPr>
        <w:t xml:space="preserve"> cu un „X” a </w:t>
      </w:r>
      <w:proofErr w:type="spellStart"/>
      <w:r w:rsidRPr="008E018F">
        <w:rPr>
          <w:rFonts w:ascii="Times New Roman" w:hAnsi="Times New Roman" w:cs="Times New Roman"/>
          <w:i/>
        </w:rPr>
        <w:t>unuia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dintre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spatiile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pentru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variantele</w:t>
      </w:r>
      <w:proofErr w:type="spellEnd"/>
      <w:r w:rsidRPr="008E018F">
        <w:rPr>
          <w:rFonts w:ascii="Times New Roman" w:hAnsi="Times New Roman" w:cs="Times New Roman"/>
          <w:i/>
        </w:rPr>
        <w:t xml:space="preserve"> „PENTRU”, „IMPOTRIVA”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„ABTINERE”. In </w:t>
      </w:r>
      <w:proofErr w:type="spellStart"/>
      <w:r w:rsidRPr="008E018F">
        <w:rPr>
          <w:rFonts w:ascii="Times New Roman" w:hAnsi="Times New Roman" w:cs="Times New Roman"/>
          <w:i/>
        </w:rPr>
        <w:t>situatia</w:t>
      </w:r>
      <w:proofErr w:type="spellEnd"/>
      <w:r w:rsidRPr="008E018F">
        <w:rPr>
          <w:rFonts w:ascii="Times New Roman" w:hAnsi="Times New Roman" w:cs="Times New Roman"/>
          <w:i/>
        </w:rPr>
        <w:t xml:space="preserve"> in care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cu „X” </w:t>
      </w:r>
      <w:proofErr w:type="spellStart"/>
      <w:r w:rsidRPr="008E018F">
        <w:rPr>
          <w:rFonts w:ascii="Times New Roman" w:hAnsi="Times New Roman" w:cs="Times New Roman"/>
          <w:i/>
        </w:rPr>
        <w:t>mai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mult</w:t>
      </w:r>
      <w:proofErr w:type="spellEnd"/>
      <w:r w:rsidRPr="008E018F">
        <w:rPr>
          <w:rFonts w:ascii="Times New Roman" w:hAnsi="Times New Roman" w:cs="Times New Roman"/>
          <w:i/>
        </w:rPr>
        <w:t xml:space="preserve"> de o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nu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nici</w:t>
      </w:r>
      <w:proofErr w:type="spellEnd"/>
      <w:r w:rsidRPr="008E018F">
        <w:rPr>
          <w:rFonts w:ascii="Times New Roman" w:hAnsi="Times New Roman" w:cs="Times New Roman"/>
          <w:i/>
        </w:rPr>
        <w:t xml:space="preserve">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respectiv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este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considerat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nul</w:t>
      </w:r>
      <w:proofErr w:type="spellEnd"/>
      <w:r w:rsidRPr="008E018F">
        <w:rPr>
          <w:rFonts w:ascii="Times New Roman" w:hAnsi="Times New Roman" w:cs="Times New Roman"/>
          <w:i/>
        </w:rPr>
        <w:t xml:space="preserve">/ nu se </w:t>
      </w:r>
      <w:proofErr w:type="spellStart"/>
      <w:r w:rsidRPr="008E018F">
        <w:rPr>
          <w:rFonts w:ascii="Times New Roman" w:hAnsi="Times New Roman" w:cs="Times New Roman"/>
          <w:i/>
        </w:rPr>
        <w:t>considera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exercitat</w:t>
      </w:r>
      <w:proofErr w:type="spellEnd"/>
      <w:r w:rsidRPr="008E018F">
        <w:rPr>
          <w:rFonts w:ascii="Times New Roman" w:hAnsi="Times New Roman" w:cs="Times New Roman"/>
        </w:rPr>
        <w:t xml:space="preserve">. </w:t>
      </w:r>
    </w:p>
    <w:p w14:paraId="2A657F0C" w14:textId="77777777" w:rsidR="0064771A" w:rsidRPr="008E018F" w:rsidRDefault="0064771A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8E018F" w:rsidRDefault="008E018F" w:rsidP="001824BF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77777777" w:rsidR="008E018F" w:rsidRPr="008E018F" w:rsidRDefault="008E018F" w:rsidP="001824BF">
      <w:pPr>
        <w:keepNext/>
        <w:keepLines/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AGEA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AGEA;</w:t>
      </w:r>
    </w:p>
    <w:p w14:paraId="43EEB279" w14:textId="3A8968DB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A97E84">
        <w:rPr>
          <w:rFonts w:ascii="Times New Roman" w:hAnsi="Times New Roman" w:cs="Times New Roman"/>
          <w:sz w:val="24"/>
          <w:szCs w:val="24"/>
        </w:rPr>
        <w:t>2</w:t>
      </w:r>
      <w:r w:rsidR="00E972BE">
        <w:rPr>
          <w:rFonts w:ascii="Times New Roman" w:hAnsi="Times New Roman" w:cs="Times New Roman"/>
          <w:sz w:val="24"/>
          <w:szCs w:val="24"/>
        </w:rPr>
        <w:t>0</w:t>
      </w:r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2B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202</w:t>
      </w:r>
      <w:r w:rsidR="00E972BE">
        <w:rPr>
          <w:rFonts w:ascii="Times New Roman" w:hAnsi="Times New Roman" w:cs="Times New Roman"/>
          <w:sz w:val="24"/>
          <w:szCs w:val="24"/>
        </w:rPr>
        <w:t>3</w:t>
      </w:r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1</w:t>
      </w:r>
      <w:r w:rsidR="00A97E84">
        <w:rPr>
          <w:rFonts w:ascii="Times New Roman" w:hAnsi="Times New Roman" w:cs="Times New Roman"/>
          <w:sz w:val="24"/>
          <w:szCs w:val="24"/>
        </w:rPr>
        <w:t>1</w:t>
      </w:r>
      <w:r w:rsidRPr="008E018F">
        <w:rPr>
          <w:rFonts w:ascii="Times New Roman" w:hAnsi="Times New Roman" w:cs="Times New Roman"/>
          <w:sz w:val="24"/>
          <w:szCs w:val="24"/>
        </w:rPr>
        <w:t>:00 (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);</w:t>
      </w:r>
    </w:p>
    <w:p w14:paraId="3741ABD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lastRenderedPageBreak/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</w:p>
    <w:p w14:paraId="6D6B2A4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</w:p>
    <w:p w14:paraId="4342D731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</w:p>
    <w:p w14:paraId="76463928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44237" w14:textId="747829DA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A97E84">
        <w:rPr>
          <w:rFonts w:ascii="Times New Roman" w:hAnsi="Times New Roman" w:cs="Times New Roman"/>
          <w:sz w:val="24"/>
          <w:szCs w:val="24"/>
        </w:rPr>
        <w:t xml:space="preserve">ROCA INDUSTRY </w:t>
      </w:r>
      <w:r w:rsidR="0064771A">
        <w:rPr>
          <w:rFonts w:ascii="Times New Roman" w:hAnsi="Times New Roman" w:cs="Times New Roman"/>
          <w:sz w:val="24"/>
          <w:szCs w:val="24"/>
        </w:rPr>
        <w:t>HOLDINGROCK1</w:t>
      </w:r>
      <w:r w:rsidRPr="008E018F">
        <w:rPr>
          <w:rFonts w:ascii="Times New Roman" w:hAnsi="Times New Roman" w:cs="Times New Roman"/>
          <w:sz w:val="24"/>
          <w:szCs w:val="24"/>
        </w:rPr>
        <w:t xml:space="preserve"> S.A., la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</w:t>
      </w:r>
      <w:r w:rsidR="005B070D">
        <w:rPr>
          <w:rFonts w:ascii="Times New Roman" w:hAnsi="Times New Roman" w:cs="Times New Roman"/>
          <w:b/>
          <w:sz w:val="24"/>
          <w:szCs w:val="24"/>
        </w:rPr>
        <w:t>08</w:t>
      </w:r>
      <w:r w:rsidRPr="008E018F">
        <w:rPr>
          <w:rFonts w:ascii="Times New Roman" w:hAnsi="Times New Roman" w:cs="Times New Roman"/>
          <w:b/>
          <w:sz w:val="24"/>
          <w:szCs w:val="24"/>
        </w:rPr>
        <w:t>.</w:t>
      </w:r>
      <w:r w:rsidR="005B070D">
        <w:rPr>
          <w:rFonts w:ascii="Times New Roman" w:hAnsi="Times New Roman" w:cs="Times New Roman"/>
          <w:b/>
          <w:sz w:val="24"/>
          <w:szCs w:val="24"/>
        </w:rPr>
        <w:t>06</w:t>
      </w:r>
      <w:r w:rsidRPr="008E018F">
        <w:rPr>
          <w:rFonts w:ascii="Times New Roman" w:hAnsi="Times New Roman" w:cs="Times New Roman"/>
          <w:b/>
          <w:sz w:val="24"/>
          <w:szCs w:val="24"/>
        </w:rPr>
        <w:t>.202</w:t>
      </w:r>
      <w:r w:rsidR="005B070D">
        <w:rPr>
          <w:rFonts w:ascii="Times New Roman" w:hAnsi="Times New Roman" w:cs="Times New Roman"/>
          <w:b/>
          <w:sz w:val="24"/>
          <w:szCs w:val="24"/>
        </w:rPr>
        <w:t>3</w:t>
      </w:r>
      <w:r w:rsidRPr="008E018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Central S.A.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).</w:t>
      </w:r>
    </w:p>
    <w:p w14:paraId="131D25E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3D460" w14:textId="77777777" w:rsidR="008E018F" w:rsidRPr="008E018F" w:rsidRDefault="008E018F" w:rsidP="00F12A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018F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25374F54" w14:textId="77777777" w:rsidR="008E018F" w:rsidRPr="008E018F" w:rsidRDefault="008E018F" w:rsidP="00F12A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EB04E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.</w:t>
      </w:r>
    </w:p>
    <w:p w14:paraId="3429203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4BE1AD6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2BC6EA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, cu majuscule)</w:t>
      </w:r>
    </w:p>
    <w:p w14:paraId="090F56BD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2C7F57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</w:p>
    <w:p w14:paraId="2C3D03AB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colectivi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semna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toti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actionarii</w:t>
      </w:r>
      <w:proofErr w:type="spellEnd"/>
    </w:p>
    <w:p w14:paraId="00000045" w14:textId="77777777" w:rsidR="00911C4E" w:rsidRPr="000575A7" w:rsidRDefault="00911C4E" w:rsidP="00F12A1B">
      <w:pPr>
        <w:rPr>
          <w:rFonts w:ascii="Times New Roman" w:hAnsi="Times New Roman" w:cs="Times New Roman"/>
          <w:sz w:val="24"/>
          <w:szCs w:val="24"/>
        </w:rPr>
      </w:pPr>
    </w:p>
    <w:sectPr w:rsidR="00911C4E" w:rsidRPr="000575A7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FEDB7" w14:textId="77777777" w:rsidR="00D9334A" w:rsidRDefault="00D9334A" w:rsidP="008F6C4D">
      <w:pPr>
        <w:spacing w:line="240" w:lineRule="auto"/>
      </w:pPr>
      <w:r>
        <w:separator/>
      </w:r>
    </w:p>
  </w:endnote>
  <w:endnote w:type="continuationSeparator" w:id="0">
    <w:p w14:paraId="35063F39" w14:textId="77777777" w:rsidR="00D9334A" w:rsidRDefault="00D9334A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CF0C3" w14:textId="77777777" w:rsidR="00D9334A" w:rsidRDefault="00D9334A" w:rsidP="008F6C4D">
      <w:pPr>
        <w:spacing w:line="240" w:lineRule="auto"/>
      </w:pPr>
      <w:r>
        <w:separator/>
      </w:r>
    </w:p>
  </w:footnote>
  <w:footnote w:type="continuationSeparator" w:id="0">
    <w:p w14:paraId="7962E61F" w14:textId="77777777" w:rsidR="00D9334A" w:rsidRDefault="00D9334A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78D5"/>
    <w:multiLevelType w:val="hybridMultilevel"/>
    <w:tmpl w:val="A380127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1723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A7574"/>
    <w:multiLevelType w:val="hybridMultilevel"/>
    <w:tmpl w:val="4274D85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5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B08E6"/>
    <w:multiLevelType w:val="hybridMultilevel"/>
    <w:tmpl w:val="4274D852"/>
    <w:lvl w:ilvl="0" w:tplc="138C311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E54D55"/>
    <w:multiLevelType w:val="hybridMultilevel"/>
    <w:tmpl w:val="CB3681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4649BCC">
      <w:start w:val="12"/>
      <w:numFmt w:val="bullet"/>
      <w:lvlText w:val="•"/>
      <w:lvlJc w:val="left"/>
      <w:pPr>
        <w:ind w:left="1890" w:hanging="360"/>
      </w:pPr>
      <w:rPr>
        <w:rFonts w:ascii="Nunito Sans" w:eastAsia="Calibri" w:hAnsi="Nunito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4" w15:restartNumberingAfterBreak="0">
    <w:nsid w:val="6C387141"/>
    <w:multiLevelType w:val="hybridMultilevel"/>
    <w:tmpl w:val="178470B8"/>
    <w:lvl w:ilvl="0" w:tplc="5CD6DED2">
      <w:start w:val="1"/>
      <w:numFmt w:val="decimal"/>
      <w:lvlText w:val="4.%1."/>
      <w:lvlJc w:val="left"/>
      <w:pPr>
        <w:ind w:left="1080" w:hanging="360"/>
      </w:pPr>
      <w:rPr>
        <w:rFonts w:ascii="Palatino Linotype" w:hAnsi="Palatino Linotype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C7735"/>
    <w:multiLevelType w:val="hybridMultilevel"/>
    <w:tmpl w:val="E504882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"/>
  </w:num>
  <w:num w:numId="5">
    <w:abstractNumId w:val="6"/>
  </w:num>
  <w:num w:numId="6">
    <w:abstractNumId w:val="11"/>
  </w:num>
  <w:num w:numId="7">
    <w:abstractNumId w:val="1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4"/>
  </w:num>
  <w:num w:numId="15">
    <w:abstractNumId w:val="0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078C7"/>
    <w:rsid w:val="000575A7"/>
    <w:rsid w:val="000A3D26"/>
    <w:rsid w:val="000D2C91"/>
    <w:rsid w:val="001751F5"/>
    <w:rsid w:val="001824BF"/>
    <w:rsid w:val="001B1949"/>
    <w:rsid w:val="001E25C6"/>
    <w:rsid w:val="001E65E0"/>
    <w:rsid w:val="002522B8"/>
    <w:rsid w:val="002834D5"/>
    <w:rsid w:val="002C4F25"/>
    <w:rsid w:val="00362149"/>
    <w:rsid w:val="005001DE"/>
    <w:rsid w:val="00515A40"/>
    <w:rsid w:val="005259A1"/>
    <w:rsid w:val="00537D2D"/>
    <w:rsid w:val="0057441E"/>
    <w:rsid w:val="0058635D"/>
    <w:rsid w:val="005912E4"/>
    <w:rsid w:val="005B070D"/>
    <w:rsid w:val="005F41E8"/>
    <w:rsid w:val="0064771A"/>
    <w:rsid w:val="006B0140"/>
    <w:rsid w:val="006F45D3"/>
    <w:rsid w:val="00752340"/>
    <w:rsid w:val="00755B21"/>
    <w:rsid w:val="0077394A"/>
    <w:rsid w:val="0078101C"/>
    <w:rsid w:val="007B7446"/>
    <w:rsid w:val="00877277"/>
    <w:rsid w:val="008B2B34"/>
    <w:rsid w:val="008E018F"/>
    <w:rsid w:val="008F6C4D"/>
    <w:rsid w:val="00911C4E"/>
    <w:rsid w:val="0095741B"/>
    <w:rsid w:val="009741B9"/>
    <w:rsid w:val="00980893"/>
    <w:rsid w:val="00A124D4"/>
    <w:rsid w:val="00A2596D"/>
    <w:rsid w:val="00A84DFB"/>
    <w:rsid w:val="00A94337"/>
    <w:rsid w:val="00A97E84"/>
    <w:rsid w:val="00AF5FEA"/>
    <w:rsid w:val="00B279F8"/>
    <w:rsid w:val="00B76BE0"/>
    <w:rsid w:val="00BD7E68"/>
    <w:rsid w:val="00BF083D"/>
    <w:rsid w:val="00C441F0"/>
    <w:rsid w:val="00CA33C3"/>
    <w:rsid w:val="00CC0E88"/>
    <w:rsid w:val="00CD17DA"/>
    <w:rsid w:val="00CF78FA"/>
    <w:rsid w:val="00D64136"/>
    <w:rsid w:val="00D9334A"/>
    <w:rsid w:val="00DE0CD4"/>
    <w:rsid w:val="00E06B58"/>
    <w:rsid w:val="00E63AC9"/>
    <w:rsid w:val="00E968C0"/>
    <w:rsid w:val="00E972BE"/>
    <w:rsid w:val="00F02395"/>
    <w:rsid w:val="00F1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AF5FEA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6" ma:contentTypeDescription="Create a new document." ma:contentTypeScope="" ma:versionID="b8d0c1eaf6d324868f038f7b6efcdee1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88372248f8c8cc3882cd1debb3dfcd5a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Props1.xml><?xml version="1.0" encoding="utf-8"?>
<ds:datastoreItem xmlns:ds="http://schemas.openxmlformats.org/officeDocument/2006/customXml" ds:itemID="{15C993E5-2E92-4AD8-91A4-4077C6D3C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3221</Words>
  <Characters>18363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</cp:lastModifiedBy>
  <cp:revision>46</cp:revision>
  <dcterms:created xsi:type="dcterms:W3CDTF">2022-03-24T12:25:00Z</dcterms:created>
  <dcterms:modified xsi:type="dcterms:W3CDTF">2023-05-18T08:58:00Z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